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35" w:rsidRDefault="0049123C" w:rsidP="00EB0ACE">
      <w:pPr>
        <w:jc w:val="center"/>
        <w:rPr>
          <w:sz w:val="28"/>
          <w:szCs w:val="28"/>
        </w:rPr>
      </w:pPr>
      <w:r w:rsidRPr="00EB0ACE">
        <w:rPr>
          <w:sz w:val="28"/>
          <w:szCs w:val="28"/>
        </w:rPr>
        <w:t>Anexo 14 – Patrimonial</w:t>
      </w:r>
    </w:p>
    <w:p w:rsidR="00EB0ACE" w:rsidRPr="00EB0ACE" w:rsidRDefault="00EB0ACE" w:rsidP="00EB0ACE">
      <w:pPr>
        <w:jc w:val="center"/>
        <w:rPr>
          <w:sz w:val="28"/>
          <w:szCs w:val="28"/>
        </w:rPr>
      </w:pPr>
      <w:bookmarkStart w:id="0" w:name="_GoBack"/>
      <w:bookmarkEnd w:id="0"/>
    </w:p>
    <w:p w:rsidR="0049123C" w:rsidRDefault="0049123C" w:rsidP="00EB0ACE">
      <w:pPr>
        <w:jc w:val="both"/>
      </w:pPr>
      <w:r w:rsidRPr="0049123C">
        <w:t xml:space="preserve">Notas 1 - </w:t>
      </w:r>
      <w:r w:rsidRPr="003D723C">
        <w:rPr>
          <w:b/>
        </w:rPr>
        <w:t>Contexto Operaciona</w:t>
      </w:r>
      <w:r w:rsidRPr="0049123C">
        <w:t xml:space="preserve">l: o </w:t>
      </w:r>
      <w:r w:rsidR="006F549B" w:rsidRPr="0049123C">
        <w:t>Município</w:t>
      </w:r>
      <w:r w:rsidRPr="0049123C">
        <w:t xml:space="preserve"> de São Martinho, entidade jurídica de direito público, é compreendid</w:t>
      </w:r>
      <w:r>
        <w:t>o</w:t>
      </w:r>
      <w:r w:rsidRPr="0049123C">
        <w:t xml:space="preserve">, na Administração Direta, pelos órgãos sem personalidade jurídica do Poder Executivo, composto por secretarias </w:t>
      </w:r>
      <w:r w:rsidR="006F549B" w:rsidRPr="0049123C">
        <w:t>municipais</w:t>
      </w:r>
      <w:r w:rsidRPr="0049123C">
        <w:t xml:space="preserve">, Fundos Especiais e o Poder Legislativo. </w:t>
      </w:r>
    </w:p>
    <w:p w:rsidR="0049123C" w:rsidRDefault="0049123C" w:rsidP="00EB0ACE">
      <w:pPr>
        <w:jc w:val="both"/>
      </w:pPr>
      <w:r w:rsidRPr="0049123C">
        <w:t xml:space="preserve">Nota 2 - </w:t>
      </w:r>
      <w:r w:rsidRPr="003D723C">
        <w:rPr>
          <w:b/>
        </w:rPr>
        <w:t>Apresentação das Demonstrações contábeis</w:t>
      </w:r>
      <w:r w:rsidRPr="0049123C">
        <w:t xml:space="preserve">:  foram elaboradas em observância com os dispositivos legais que regulam o assunto, em especial a Lei nº 4320/64, a Lei complementar nº 101/2000, os Princípios de Contabilidade, as </w:t>
      </w:r>
      <w:proofErr w:type="spellStart"/>
      <w:r w:rsidRPr="0049123C">
        <w:t>NBCTs</w:t>
      </w:r>
      <w:proofErr w:type="spellEnd"/>
      <w:r w:rsidRPr="0049123C">
        <w:t>, o MCASP e demais disposições normativas vigentes.</w:t>
      </w:r>
    </w:p>
    <w:p w:rsidR="0049123C" w:rsidRDefault="0049123C" w:rsidP="00EB0ACE">
      <w:pPr>
        <w:jc w:val="both"/>
      </w:pPr>
      <w:r w:rsidRPr="0049123C">
        <w:t xml:space="preserve"> Nota 3 - </w:t>
      </w:r>
      <w:r w:rsidRPr="003D723C">
        <w:rPr>
          <w:b/>
        </w:rPr>
        <w:t>Caixa e Equivalente de Caixa</w:t>
      </w:r>
      <w:r w:rsidRPr="0049123C">
        <w:t>: compreende o somatório dos valores em caixa e em bancos, bem como equivalentes, que representam recursos com livre movimentação para aplicação nas operações da entidade e para os quais não haja restrições para uso imediato.</w:t>
      </w:r>
    </w:p>
    <w:p w:rsidR="0049123C" w:rsidRDefault="0049123C" w:rsidP="00EB0ACE">
      <w:pPr>
        <w:jc w:val="both"/>
      </w:pPr>
      <w:r w:rsidRPr="0049123C">
        <w:t xml:space="preserve"> Nota 4 </w:t>
      </w:r>
      <w:r w:rsidRPr="003D723C">
        <w:rPr>
          <w:b/>
        </w:rPr>
        <w:t>- Créditos a receber a Curto Prazo e a Longo Prazos</w:t>
      </w:r>
      <w:r w:rsidRPr="0049123C">
        <w:t xml:space="preserve">: os valores apresentados compreendem os saldos líquidos a receber. Valores realizáveis em até 12 meses foram classificados no curto prazo, o restante, foi classificado no ativo não circulante. Especificamente em relação à dívida ativa, os valores a curto prazo foram estimados pela média anual de recebimentos efetivos dos três </w:t>
      </w:r>
      <w:r w:rsidR="006F549B" w:rsidRPr="0049123C">
        <w:t>últimos</w:t>
      </w:r>
      <w:r w:rsidRPr="0049123C">
        <w:t xml:space="preserve"> exercícios e o longo prazo abriga o estoque de créditos inscritos. O ajuste a valor recuperável dos créditos inscritos foi efetuado considerando a média ponderada dos recebimentos nos três </w:t>
      </w:r>
      <w:r w:rsidR="006F549B" w:rsidRPr="0049123C">
        <w:t>últimos</w:t>
      </w:r>
      <w:r w:rsidRPr="0049123C">
        <w:t xml:space="preserve"> exercícios, </w:t>
      </w:r>
      <w:r w:rsidR="005B4230">
        <w:t xml:space="preserve">obtendo-se </w:t>
      </w:r>
      <w:r w:rsidRPr="0049123C">
        <w:t>assim, percentual médio de recebimentos</w:t>
      </w:r>
      <w:r w:rsidR="005B4230">
        <w:t xml:space="preserve"> e considerando cada tipo de dívida quando necessário foi feita reversão da provisão</w:t>
      </w:r>
      <w:r w:rsidRPr="0049123C">
        <w:t xml:space="preserve">. </w:t>
      </w:r>
    </w:p>
    <w:p w:rsidR="00903375" w:rsidRDefault="0049123C" w:rsidP="00EB0ACE">
      <w:pPr>
        <w:jc w:val="both"/>
      </w:pPr>
      <w:r w:rsidRPr="0049123C">
        <w:t xml:space="preserve">Nota 5 </w:t>
      </w:r>
      <w:r w:rsidRPr="005B4230">
        <w:rPr>
          <w:b/>
        </w:rPr>
        <w:t>- Investimentos e Aplicações Temporárias a Curto Prazo</w:t>
      </w:r>
      <w:r w:rsidRPr="0049123C">
        <w:t>: os saldos apresentados no corpo da demonstração se referem aos valores líquidos, já descontadas as perdas, bem como as aplicações das disponibilidades de RPPS, as quais se processaram de acordo com a Resolução nº 3.922 do CMN.</w:t>
      </w:r>
      <w:r w:rsidR="005B4230">
        <w:t xml:space="preserve"> </w:t>
      </w:r>
    </w:p>
    <w:p w:rsidR="0049123C" w:rsidRDefault="0049123C" w:rsidP="00EB0ACE">
      <w:pPr>
        <w:jc w:val="both"/>
      </w:pPr>
      <w:r w:rsidRPr="0049123C">
        <w:t xml:space="preserve">Nota 6 - </w:t>
      </w:r>
      <w:r w:rsidRPr="005B4230">
        <w:rPr>
          <w:b/>
        </w:rPr>
        <w:t>Estoques:</w:t>
      </w:r>
      <w:r w:rsidRPr="0049123C">
        <w:t xml:space="preserve"> compreende o valor dos bens adquiridos, produzidos ou em processo de elaboração com o objetivo de venda ou utilização própria no curso normal das atividades. </w:t>
      </w:r>
    </w:p>
    <w:p w:rsidR="0049123C" w:rsidRDefault="0049123C" w:rsidP="00EB0ACE">
      <w:pPr>
        <w:jc w:val="both"/>
      </w:pPr>
      <w:r w:rsidRPr="0049123C">
        <w:t xml:space="preserve">Nota </w:t>
      </w:r>
      <w:r>
        <w:t>7</w:t>
      </w:r>
      <w:r w:rsidRPr="0049123C">
        <w:t xml:space="preserve"> - </w:t>
      </w:r>
      <w:r w:rsidRPr="005B4230">
        <w:rPr>
          <w:b/>
        </w:rPr>
        <w:t>Investimentos:</w:t>
      </w:r>
      <w:r w:rsidRPr="0049123C">
        <w:t xml:space="preserve"> Compreendem as </w:t>
      </w:r>
      <w:r w:rsidR="006F549B" w:rsidRPr="0049123C">
        <w:t>participações</w:t>
      </w:r>
      <w:r w:rsidRPr="0049123C">
        <w:t xml:space="preserve"> permanentes em outras sociedades, bem como os bens de direitos não classificáveis no Ativo Circulante, nem no Ativo </w:t>
      </w:r>
      <w:r w:rsidR="006F549B" w:rsidRPr="0049123C">
        <w:t>Realizável</w:t>
      </w:r>
      <w:r w:rsidRPr="0049123C">
        <w:t xml:space="preserve"> à L.P e que não se destinem à manutenção da entidade. </w:t>
      </w:r>
    </w:p>
    <w:p w:rsidR="005B4230" w:rsidRDefault="0049123C" w:rsidP="00EB0ACE">
      <w:pPr>
        <w:jc w:val="both"/>
      </w:pPr>
      <w:r w:rsidRPr="0049123C">
        <w:t xml:space="preserve">Nota </w:t>
      </w:r>
      <w:r>
        <w:t>8</w:t>
      </w:r>
      <w:r w:rsidRPr="0049123C">
        <w:t xml:space="preserve"> </w:t>
      </w:r>
      <w:r w:rsidR="005B4230">
        <w:t xml:space="preserve">– </w:t>
      </w:r>
      <w:r w:rsidR="005B4230" w:rsidRPr="005B4230">
        <w:rPr>
          <w:b/>
        </w:rPr>
        <w:t>Imobilizado</w:t>
      </w:r>
      <w:r w:rsidR="005B4230">
        <w:t xml:space="preserve">: Bens Móveis: </w:t>
      </w:r>
      <w:r w:rsidR="005B4230" w:rsidRPr="0049123C">
        <w:t xml:space="preserve"> os</w:t>
      </w:r>
      <w:r w:rsidRPr="0049123C">
        <w:t xml:space="preserve"> bens adquiridos foram incorporados ao </w:t>
      </w:r>
      <w:r w:rsidR="006F549B" w:rsidRPr="0049123C">
        <w:t>Patrimônio</w:t>
      </w:r>
      <w:r w:rsidRPr="0049123C">
        <w:t xml:space="preserve"> e depreciados em consonância as tabelas e vida útil. </w:t>
      </w:r>
    </w:p>
    <w:p w:rsidR="0049123C" w:rsidRDefault="0049123C" w:rsidP="00EB0ACE">
      <w:pPr>
        <w:jc w:val="both"/>
      </w:pPr>
      <w:r w:rsidRPr="0049123C">
        <w:t xml:space="preserve">Nota </w:t>
      </w:r>
      <w:r w:rsidR="005B4230">
        <w:t xml:space="preserve">9 - </w:t>
      </w:r>
      <w:r w:rsidR="005B4230" w:rsidRPr="005B4230">
        <w:rPr>
          <w:b/>
        </w:rPr>
        <w:t>Imobilizado</w:t>
      </w:r>
      <w:r w:rsidRPr="005B4230">
        <w:rPr>
          <w:b/>
        </w:rPr>
        <w:t xml:space="preserve"> </w:t>
      </w:r>
      <w:r w:rsidRPr="0049123C">
        <w:t xml:space="preserve">-  </w:t>
      </w:r>
      <w:r w:rsidR="005B4230">
        <w:t xml:space="preserve">Bens Imóveis: Os saldos apresentados compreendem os bens vinculados ao solo e que não podem ser retirados sem destruição ou dano, destinados ao uso. </w:t>
      </w:r>
    </w:p>
    <w:p w:rsidR="005B4230" w:rsidRDefault="005B4230" w:rsidP="00EB0ACE">
      <w:pPr>
        <w:jc w:val="both"/>
      </w:pPr>
      <w:r>
        <w:t xml:space="preserve">Nota 10 – </w:t>
      </w:r>
      <w:r w:rsidRPr="005B4230">
        <w:rPr>
          <w:b/>
        </w:rPr>
        <w:t>Ativo Intan</w:t>
      </w:r>
      <w:r>
        <w:rPr>
          <w:b/>
        </w:rPr>
        <w:t>gí</w:t>
      </w:r>
      <w:r w:rsidRPr="005B4230">
        <w:rPr>
          <w:b/>
        </w:rPr>
        <w:t>vel:</w:t>
      </w:r>
      <w:r>
        <w:rPr>
          <w:b/>
        </w:rPr>
        <w:t xml:space="preserve"> </w:t>
      </w:r>
      <w:r w:rsidRPr="005B4230">
        <w:t>nos bens intangíveis</w:t>
      </w:r>
      <w:r>
        <w:t xml:space="preserve"> estão compreendidos os direitos que tenham por objeto bens incorpóreos destinados à manutenção das ações de governo ou exercícios </w:t>
      </w:r>
      <w:r>
        <w:lastRenderedPageBreak/>
        <w:t xml:space="preserve">com essa finalidade, no caso do município, esta rubrica é composta por </w:t>
      </w:r>
      <w:r w:rsidR="0039599D">
        <w:t>softwares desenvolvidos especificamente para atender as necessidades da administração.</w:t>
      </w:r>
    </w:p>
    <w:p w:rsidR="0039599D" w:rsidRDefault="0039599D" w:rsidP="00EB0ACE">
      <w:pPr>
        <w:jc w:val="both"/>
      </w:pPr>
      <w:r>
        <w:t xml:space="preserve">Nota 11 – </w:t>
      </w:r>
      <w:r w:rsidRPr="0039599D">
        <w:rPr>
          <w:b/>
        </w:rPr>
        <w:t>Empréstimos e Financiamentos a Curto Prazo e Longo Prazo</w:t>
      </w:r>
      <w:r>
        <w:t xml:space="preserve">: Os saldos são apresentados pelos valores líquidos das obrigações e compreendem as obrigações financeiras do município a título de empréstimos, bem como as aquisições efetuadas com o fornecedor, com vencimento no curto prazo e longo prazo. </w:t>
      </w:r>
    </w:p>
    <w:p w:rsidR="0039599D" w:rsidRDefault="0039599D" w:rsidP="00EB0ACE">
      <w:pPr>
        <w:jc w:val="both"/>
      </w:pPr>
      <w:r>
        <w:t xml:space="preserve">Nota 12 – </w:t>
      </w:r>
      <w:r w:rsidR="00A14871">
        <w:rPr>
          <w:b/>
        </w:rPr>
        <w:t xml:space="preserve">Obrigações Trab., </w:t>
      </w:r>
      <w:proofErr w:type="spellStart"/>
      <w:r w:rsidR="00A14871">
        <w:rPr>
          <w:b/>
        </w:rPr>
        <w:t>Prev</w:t>
      </w:r>
      <w:proofErr w:type="spellEnd"/>
      <w:r w:rsidR="00A14871">
        <w:rPr>
          <w:b/>
        </w:rPr>
        <w:t xml:space="preserve"> e Assistenciais a pagar a Curto Prazo e a Longo Prazo: </w:t>
      </w:r>
      <w:r w:rsidR="00A14871" w:rsidRPr="00A14871">
        <w:t xml:space="preserve">Compreende o saldo das obrigações reconhecidas pelo regime de competência referentes a salários ou remunerações, bem como benefícios aos quais o empregado ou servidor tenha direito, aposentadorias, reformas, pensões e encargos a pagar, benefícios assistenciais, inclusive os precatórios decorrentes dessas obrigações. No curto prazo foram classificados os valores exigíveis em até 12 meses da data das demonstrações contábeis. </w:t>
      </w:r>
      <w:proofErr w:type="gramStart"/>
      <w:r w:rsidR="00A14871" w:rsidRPr="00A14871">
        <w:t>O restante das obrigações dessa natureza foram</w:t>
      </w:r>
      <w:proofErr w:type="gramEnd"/>
      <w:r w:rsidR="00A14871" w:rsidRPr="00A14871">
        <w:t xml:space="preserve"> classificados no longo prazo.</w:t>
      </w:r>
    </w:p>
    <w:p w:rsidR="00720558" w:rsidRDefault="00720558" w:rsidP="00EB0ACE">
      <w:pPr>
        <w:jc w:val="both"/>
      </w:pPr>
      <w:r>
        <w:t xml:space="preserve">Nota 13 – </w:t>
      </w:r>
      <w:r w:rsidRPr="00720558">
        <w:rPr>
          <w:b/>
        </w:rPr>
        <w:t>Empréstimos e financiamentos a Curto Prazo e Longo Prazo</w:t>
      </w:r>
      <w:r>
        <w:rPr>
          <w:b/>
        </w:rPr>
        <w:t xml:space="preserve">: </w:t>
      </w:r>
      <w:r w:rsidRPr="00720558">
        <w:t>os saldos são apresentados</w:t>
      </w:r>
      <w:r>
        <w:t xml:space="preserve"> pelos valores líquidos das obrigações, devidamente ajustado em 31.12.2017 e compreendem as obrigações financeiras do Município a título de empréstimos, bem como as aquisições efetuadas diretamente com o fornecedor, com vencimento no curto e longo prazo. </w:t>
      </w:r>
    </w:p>
    <w:p w:rsidR="00720558" w:rsidRDefault="00720558" w:rsidP="00EB0ACE">
      <w:pPr>
        <w:jc w:val="both"/>
      </w:pPr>
      <w:r>
        <w:t xml:space="preserve">Nota 14 – </w:t>
      </w:r>
      <w:r w:rsidRPr="0081594A">
        <w:rPr>
          <w:b/>
        </w:rPr>
        <w:t>Fornecedores e Contas a Pagar a Curto e Longo Prazos</w:t>
      </w:r>
      <w:r>
        <w:t>: Os valores registrados</w:t>
      </w:r>
      <w:r w:rsidR="00F60142">
        <w:t xml:space="preserve"> nesses títulos são decorrentes de obrigações junto a fornecedores de matérias – primas, mercadorias e outros materiais utilizados nas atividades operacionais dos órgãos e entidades da administração direta e indireta. Compreende também obrigações decorrentes do fornecimento de utilidades e da prestação de serviços, tais como de energia elétrica, água, telefone, propaganda, aluguéis e todas as outras contas a pagar, inclusive, os precatórios decorrentes dessas obrigações, e os valores inscritos em restos e pagar processados. Os saldos apresentados compreendem os valores empenhados e liquidados</w:t>
      </w:r>
      <w:r w:rsidR="00A16078">
        <w:t>.</w:t>
      </w:r>
    </w:p>
    <w:p w:rsidR="00347292" w:rsidRDefault="00347292" w:rsidP="00EB0ACE">
      <w:pPr>
        <w:jc w:val="both"/>
      </w:pPr>
      <w:r>
        <w:t xml:space="preserve">Nota 15 – </w:t>
      </w:r>
      <w:r w:rsidRPr="00347292">
        <w:rPr>
          <w:b/>
        </w:rPr>
        <w:t xml:space="preserve">Obrigações Fiscais a Curto e Longo Prazos: </w:t>
      </w:r>
      <w:r w:rsidRPr="00347292">
        <w:t>Compreende o saldo das obrigações dos órgãos e entidades da Administração Municipal, relativas a impostos, taxas e contribuições devidas à União, ao Estado e a Municípios.</w:t>
      </w:r>
    </w:p>
    <w:p w:rsidR="00347292" w:rsidRDefault="00347292" w:rsidP="00EB0ACE">
      <w:pPr>
        <w:jc w:val="both"/>
      </w:pPr>
      <w:r>
        <w:t>Nota 1</w:t>
      </w:r>
      <w:r w:rsidR="00AC196A">
        <w:t>6</w:t>
      </w:r>
      <w:r>
        <w:t xml:space="preserve"> – </w:t>
      </w:r>
      <w:r w:rsidRPr="000057C9">
        <w:rPr>
          <w:b/>
        </w:rPr>
        <w:t>Dívida Flutuante</w:t>
      </w:r>
      <w:r>
        <w:t xml:space="preserve">: Conforme o </w:t>
      </w:r>
      <w:proofErr w:type="spellStart"/>
      <w:r>
        <w:t>art</w:t>
      </w:r>
      <w:proofErr w:type="spellEnd"/>
      <w:r>
        <w:t xml:space="preserve"> 92 da Lei Federal n. 4320/64, os componentes da dívida flutuante são aqueles compromissos contraídos por período limitado de tempo (Curto prazo) quer na sua condição de valores de terceiros, quer para atender às </w:t>
      </w:r>
      <w:r w:rsidR="00AC196A">
        <w:t>necessidades de caixa momentâneas, realizadas independentemente de autorização orçamentária, bem como os valores de restos a pagar.</w:t>
      </w:r>
    </w:p>
    <w:p w:rsidR="00AC196A" w:rsidRDefault="00AC196A" w:rsidP="00EB0ACE">
      <w:pPr>
        <w:jc w:val="both"/>
      </w:pPr>
      <w:r>
        <w:t xml:space="preserve">Nota 17 – </w:t>
      </w:r>
      <w:r w:rsidRPr="000057C9">
        <w:rPr>
          <w:b/>
        </w:rPr>
        <w:t>Patrimônio Líquido</w:t>
      </w:r>
      <w:r>
        <w:t xml:space="preserve">: compreende o valor residual dos ativos depois de deduzidos todos os passivos. Esse grupo é composto pelos saldos de Patrimônio </w:t>
      </w:r>
      <w:r w:rsidR="000057C9">
        <w:t>Social e</w:t>
      </w:r>
      <w:r>
        <w:t xml:space="preserve"> Capital Social, adiantamento para futuro aumento de capital, reservas de capital, ajustes</w:t>
      </w:r>
      <w:r w:rsidR="000057C9">
        <w:t xml:space="preserve"> de avaliação patrimonial, reservas e lucros, demais reservas, resultados acumulados e ações ou cotas.</w:t>
      </w:r>
    </w:p>
    <w:p w:rsidR="00EB0ACE" w:rsidRDefault="000057C9" w:rsidP="00EB0ACE">
      <w:pPr>
        <w:jc w:val="both"/>
      </w:pPr>
      <w:r w:rsidRPr="00EB0ACE">
        <w:t xml:space="preserve">Nota 18 – </w:t>
      </w:r>
      <w:r w:rsidRPr="00EB0ACE">
        <w:rPr>
          <w:b/>
        </w:rPr>
        <w:t>Ajustes de exercícios anteriores</w:t>
      </w:r>
      <w:r w:rsidRPr="00EB0ACE">
        <w:t xml:space="preserve">: de acordo com o MCASP, os ajustes de exercícios anteriores são relacionados com registros decorrentes de efeitos de mudança de critério </w:t>
      </w:r>
      <w:r w:rsidRPr="00EB0ACE">
        <w:lastRenderedPageBreak/>
        <w:t>contábil, omissão de registro, ou retificação de erro imputável a determinado exercício anterior, e que não possam ser atribuídos a fatos subsequentes.</w:t>
      </w:r>
    </w:p>
    <w:p w:rsidR="00EB0ACE" w:rsidRPr="00EB0ACE" w:rsidRDefault="00EB0ACE" w:rsidP="00EB0ACE">
      <w:pPr>
        <w:jc w:val="right"/>
      </w:pPr>
      <w:r>
        <w:t>São Martinho, 30 de janeiro de 2018</w:t>
      </w:r>
    </w:p>
    <w:p w:rsidR="00EB0ACE" w:rsidRPr="00EB0ACE" w:rsidRDefault="00EB0ACE" w:rsidP="00EB0ACE">
      <w:pPr>
        <w:jc w:val="both"/>
      </w:pPr>
    </w:p>
    <w:p w:rsidR="00EB0ACE" w:rsidRPr="00EB0ACE" w:rsidRDefault="00EB0ACE" w:rsidP="00EB0ACE">
      <w:pPr>
        <w:ind w:left="4956" w:firstLine="708"/>
        <w:jc w:val="right"/>
      </w:pPr>
      <w:r w:rsidRPr="00EB0ACE">
        <w:t>Silvani T. Domingues</w:t>
      </w:r>
    </w:p>
    <w:p w:rsidR="000057C9" w:rsidRPr="00EB0ACE" w:rsidRDefault="00EB0ACE" w:rsidP="00EB0ACE">
      <w:pPr>
        <w:jc w:val="right"/>
      </w:pPr>
      <w:r w:rsidRPr="00EB0ACE">
        <w:t>Contadora CRC/RS 83.080</w:t>
      </w:r>
    </w:p>
    <w:p w:rsidR="00EB0ACE" w:rsidRPr="00EB0ACE" w:rsidRDefault="00EB0ACE" w:rsidP="00EB0ACE">
      <w:pPr>
        <w:jc w:val="both"/>
      </w:pPr>
    </w:p>
    <w:sectPr w:rsidR="00EB0ACE" w:rsidRPr="00EB0ACE" w:rsidSect="00693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123C"/>
    <w:rsid w:val="000057C9"/>
    <w:rsid w:val="00347292"/>
    <w:rsid w:val="0039599D"/>
    <w:rsid w:val="003D723C"/>
    <w:rsid w:val="0049123C"/>
    <w:rsid w:val="005B4230"/>
    <w:rsid w:val="00693135"/>
    <w:rsid w:val="006F549B"/>
    <w:rsid w:val="00720558"/>
    <w:rsid w:val="0081594A"/>
    <w:rsid w:val="008D7ECC"/>
    <w:rsid w:val="00903375"/>
    <w:rsid w:val="00A14871"/>
    <w:rsid w:val="00A16078"/>
    <w:rsid w:val="00AC196A"/>
    <w:rsid w:val="00BD1AA8"/>
    <w:rsid w:val="00CF0058"/>
    <w:rsid w:val="00EB0ACE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46A8"/>
  <w15:docId w15:val="{B81F84C7-C4AB-4896-B773-8E766632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13</cp:revision>
  <dcterms:created xsi:type="dcterms:W3CDTF">2017-01-27T13:07:00Z</dcterms:created>
  <dcterms:modified xsi:type="dcterms:W3CDTF">2018-01-31T09:02:00Z</dcterms:modified>
</cp:coreProperties>
</file>